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07526A" w:rsidP="0038354F">
            <w:pPr>
              <w:rPr>
                <w:rFonts w:asciiTheme="minorEastAsia" w:hAnsiTheme="minorEastAsia"/>
                <w:sz w:val="24"/>
                <w:szCs w:val="24"/>
              </w:rPr>
            </w:pPr>
            <w:bookmarkStart w:id="0" w:name="_GoBack"/>
            <w:r>
              <w:rPr>
                <w:rFonts w:asciiTheme="minorEastAsia" w:hAnsiTheme="minorEastAsia" w:hint="eastAsia"/>
                <w:sz w:val="24"/>
                <w:szCs w:val="24"/>
              </w:rPr>
              <w:t>地籍調査対象地所有者等名簿</w:t>
            </w:r>
            <w:r w:rsidR="009E1A72">
              <w:rPr>
                <w:rFonts w:asciiTheme="minorEastAsia" w:hAnsiTheme="minorEastAsia" w:hint="eastAsia"/>
                <w:sz w:val="24"/>
                <w:szCs w:val="24"/>
              </w:rPr>
              <w:t>ファイル</w:t>
            </w:r>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07526A" w:rsidP="0038354F">
            <w:pPr>
              <w:rPr>
                <w:rFonts w:asciiTheme="minorEastAsia" w:hAnsiTheme="minorEastAsia"/>
                <w:sz w:val="24"/>
                <w:szCs w:val="24"/>
              </w:rPr>
            </w:pPr>
            <w:r>
              <w:rPr>
                <w:rFonts w:asciiTheme="minorEastAsia" w:hAnsiTheme="minorEastAsia" w:hint="eastAsia"/>
                <w:sz w:val="24"/>
                <w:szCs w:val="24"/>
              </w:rPr>
              <w:t>大洗町</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07526A" w:rsidP="0038354F">
            <w:pPr>
              <w:rPr>
                <w:rFonts w:asciiTheme="minorEastAsia" w:hAnsiTheme="minorEastAsia"/>
                <w:sz w:val="24"/>
                <w:szCs w:val="24"/>
              </w:rPr>
            </w:pPr>
            <w:r>
              <w:rPr>
                <w:rFonts w:asciiTheme="minorEastAsia" w:hAnsiTheme="minorEastAsia" w:hint="eastAsia"/>
                <w:sz w:val="24"/>
                <w:szCs w:val="24"/>
              </w:rPr>
              <w:t>大洗町　都市建設課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07526A" w:rsidP="0038354F">
            <w:pPr>
              <w:rPr>
                <w:rFonts w:asciiTheme="minorEastAsia" w:hAnsiTheme="minorEastAsia"/>
                <w:sz w:val="24"/>
                <w:szCs w:val="24"/>
              </w:rPr>
            </w:pPr>
            <w:r>
              <w:rPr>
                <w:rFonts w:asciiTheme="minorEastAsia" w:hAnsiTheme="minorEastAsia" w:hint="eastAsia"/>
                <w:sz w:val="24"/>
                <w:szCs w:val="24"/>
              </w:rPr>
              <w:t>土地の所有者、地番、地目の調査と、境界の位置について現地立合し、測量の結果を確認するため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B533AC" w:rsidP="0007526A">
            <w:pPr>
              <w:rPr>
                <w:rFonts w:asciiTheme="minorEastAsia" w:hAnsiTheme="minorEastAsia"/>
                <w:sz w:val="24"/>
                <w:szCs w:val="24"/>
              </w:rPr>
            </w:pPr>
            <w:r w:rsidRPr="00B533AC">
              <w:rPr>
                <w:rFonts w:asciiTheme="minorEastAsia" w:hAnsiTheme="minorEastAsia" w:hint="eastAsia"/>
                <w:sz w:val="24"/>
                <w:szCs w:val="24"/>
              </w:rPr>
              <w:t>氏名、</w:t>
            </w:r>
            <w:r w:rsidR="0007526A">
              <w:rPr>
                <w:rFonts w:asciiTheme="minorEastAsia" w:hAnsiTheme="minorEastAsia" w:hint="eastAsia"/>
                <w:sz w:val="24"/>
                <w:szCs w:val="24"/>
              </w:rPr>
              <w:t>住所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07526A" w:rsidP="00B533AC">
            <w:pPr>
              <w:rPr>
                <w:rFonts w:asciiTheme="minorEastAsia" w:hAnsiTheme="minorEastAsia"/>
                <w:sz w:val="24"/>
                <w:szCs w:val="24"/>
              </w:rPr>
            </w:pPr>
            <w:r>
              <w:rPr>
                <w:rFonts w:asciiTheme="minorEastAsia" w:hAnsiTheme="minorEastAsia" w:hint="eastAsia"/>
                <w:sz w:val="24"/>
                <w:szCs w:val="24"/>
              </w:rPr>
              <w:t>所有権及び所有権以外の権利の登記名義人及び相続人等</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07526A" w:rsidP="0038354F">
            <w:pPr>
              <w:rPr>
                <w:rFonts w:asciiTheme="minorEastAsia" w:hAnsiTheme="minorEastAsia"/>
                <w:sz w:val="24"/>
                <w:szCs w:val="24"/>
              </w:rPr>
            </w:pPr>
            <w:r>
              <w:rPr>
                <w:rFonts w:asciiTheme="minorEastAsia" w:hAnsiTheme="minorEastAsia" w:hint="eastAsia"/>
                <w:sz w:val="24"/>
                <w:szCs w:val="24"/>
              </w:rPr>
              <w:t>法務局</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07526A">
              <w:rPr>
                <w:rFonts w:asciiTheme="minorEastAsia" w:hAnsiTheme="minorEastAsia" w:hint="eastAsia"/>
                <w:sz w:val="24"/>
                <w:szCs w:val="24"/>
              </w:rPr>
              <w:t>大洗町　都市建設課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07526A"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07526A" w:rsidP="0038354F">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F8" w:rsidRDefault="005836F8" w:rsidP="009E1A72">
      <w:r>
        <w:separator/>
      </w:r>
    </w:p>
  </w:endnote>
  <w:endnote w:type="continuationSeparator" w:id="0">
    <w:p w:rsidR="005836F8" w:rsidRDefault="005836F8" w:rsidP="009E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F8" w:rsidRDefault="005836F8" w:rsidP="009E1A72">
      <w:r>
        <w:separator/>
      </w:r>
    </w:p>
  </w:footnote>
  <w:footnote w:type="continuationSeparator" w:id="0">
    <w:p w:rsidR="005836F8" w:rsidRDefault="005836F8" w:rsidP="009E1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7526A"/>
    <w:rsid w:val="000C3C42"/>
    <w:rsid w:val="00181BB2"/>
    <w:rsid w:val="001E0927"/>
    <w:rsid w:val="002960AE"/>
    <w:rsid w:val="0038354F"/>
    <w:rsid w:val="003A1CDD"/>
    <w:rsid w:val="005836F8"/>
    <w:rsid w:val="00603AC8"/>
    <w:rsid w:val="008C1DC6"/>
    <w:rsid w:val="009E1A72"/>
    <w:rsid w:val="00A15CCB"/>
    <w:rsid w:val="00A35D72"/>
    <w:rsid w:val="00AF7588"/>
    <w:rsid w:val="00B533AC"/>
    <w:rsid w:val="00C139D3"/>
    <w:rsid w:val="00CA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9E1A72"/>
    <w:pPr>
      <w:tabs>
        <w:tab w:val="center" w:pos="4252"/>
        <w:tab w:val="right" w:pos="8504"/>
      </w:tabs>
      <w:snapToGrid w:val="0"/>
    </w:pPr>
  </w:style>
  <w:style w:type="character" w:customStyle="1" w:styleId="a7">
    <w:name w:val="ヘッダー (文字)"/>
    <w:basedOn w:val="a0"/>
    <w:link w:val="a6"/>
    <w:uiPriority w:val="99"/>
    <w:rsid w:val="009E1A72"/>
  </w:style>
  <w:style w:type="paragraph" w:styleId="a8">
    <w:name w:val="footer"/>
    <w:basedOn w:val="a"/>
    <w:link w:val="a9"/>
    <w:uiPriority w:val="99"/>
    <w:unhideWhenUsed/>
    <w:rsid w:val="009E1A72"/>
    <w:pPr>
      <w:tabs>
        <w:tab w:val="center" w:pos="4252"/>
        <w:tab w:val="right" w:pos="8504"/>
      </w:tabs>
      <w:snapToGrid w:val="0"/>
    </w:pPr>
  </w:style>
  <w:style w:type="character" w:customStyle="1" w:styleId="a9">
    <w:name w:val="フッター (文字)"/>
    <w:basedOn w:val="a0"/>
    <w:link w:val="a8"/>
    <w:uiPriority w:val="99"/>
    <w:rsid w:val="009E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6</cp:revision>
  <cp:lastPrinted>2016-05-15T23:23:00Z</cp:lastPrinted>
  <dcterms:created xsi:type="dcterms:W3CDTF">2022-08-04T10:15:00Z</dcterms:created>
  <dcterms:modified xsi:type="dcterms:W3CDTF">2023-03-15T05:12:00Z</dcterms:modified>
</cp:coreProperties>
</file>